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8A" w:rsidRPr="0044221C" w:rsidRDefault="00F6018A" w:rsidP="00F6018A">
      <w:pPr>
        <w:spacing w:line="400" w:lineRule="atLeast"/>
        <w:jc w:val="center"/>
        <w:rPr>
          <w:rFonts w:eastAsia="標楷體"/>
          <w:sz w:val="32"/>
        </w:rPr>
      </w:pPr>
      <w:r w:rsidRPr="0044221C">
        <w:rPr>
          <w:rFonts w:eastAsia="標楷體" w:hAnsi="標楷體"/>
          <w:sz w:val="32"/>
        </w:rPr>
        <w:t>國立</w:t>
      </w:r>
      <w:proofErr w:type="gramStart"/>
      <w:r w:rsidRPr="0044221C">
        <w:rPr>
          <w:rFonts w:eastAsia="標楷體" w:hAnsi="標楷體"/>
          <w:sz w:val="32"/>
        </w:rPr>
        <w:t>臺</w:t>
      </w:r>
      <w:proofErr w:type="gramEnd"/>
      <w:r w:rsidRPr="0044221C">
        <w:rPr>
          <w:rFonts w:eastAsia="標楷體" w:hAnsi="標楷體"/>
          <w:sz w:val="32"/>
        </w:rPr>
        <w:t>北科技大學校務發展委員會組織章程</w:t>
      </w:r>
      <w:r w:rsidRPr="0044221C">
        <w:rPr>
          <w:rFonts w:eastAsia="標楷體"/>
          <w:sz w:val="32"/>
        </w:rPr>
        <w:t xml:space="preserve">  </w:t>
      </w:r>
    </w:p>
    <w:p w:rsidR="00F6018A" w:rsidRPr="0044221C" w:rsidRDefault="00F6018A" w:rsidP="00F6018A">
      <w:pPr>
        <w:spacing w:line="120" w:lineRule="atLeast"/>
        <w:ind w:rightChars="-82" w:right="-197"/>
        <w:jc w:val="right"/>
        <w:rPr>
          <w:rFonts w:eastAsia="標楷體"/>
          <w:sz w:val="20"/>
          <w:szCs w:val="16"/>
        </w:rPr>
      </w:pPr>
      <w:r w:rsidRPr="0044221C">
        <w:rPr>
          <w:rFonts w:eastAsia="標楷體"/>
          <w:sz w:val="20"/>
          <w:szCs w:val="16"/>
        </w:rPr>
        <w:t>88</w:t>
      </w:r>
      <w:r w:rsidRPr="0044221C">
        <w:rPr>
          <w:rFonts w:eastAsia="標楷體" w:hAnsi="標楷體"/>
          <w:sz w:val="20"/>
          <w:szCs w:val="16"/>
        </w:rPr>
        <w:t>年</w:t>
      </w:r>
      <w:r w:rsidRPr="0044221C">
        <w:rPr>
          <w:rFonts w:eastAsia="標楷體"/>
          <w:sz w:val="20"/>
          <w:szCs w:val="16"/>
        </w:rPr>
        <w:t>3</w:t>
      </w:r>
      <w:r w:rsidRPr="0044221C">
        <w:rPr>
          <w:rFonts w:eastAsia="標楷體" w:hAnsi="標楷體"/>
          <w:sz w:val="20"/>
          <w:szCs w:val="16"/>
        </w:rPr>
        <w:t>月</w:t>
      </w:r>
      <w:r w:rsidRPr="0044221C">
        <w:rPr>
          <w:rFonts w:eastAsia="標楷體"/>
          <w:sz w:val="20"/>
          <w:szCs w:val="16"/>
        </w:rPr>
        <w:t>23</w:t>
      </w:r>
      <w:r w:rsidRPr="0044221C">
        <w:rPr>
          <w:rFonts w:eastAsia="標楷體" w:hAnsi="標楷體"/>
          <w:sz w:val="20"/>
          <w:szCs w:val="16"/>
        </w:rPr>
        <w:t>日校務會議通過</w:t>
      </w:r>
    </w:p>
    <w:p w:rsidR="00F6018A" w:rsidRPr="0044221C" w:rsidRDefault="00F6018A" w:rsidP="00F6018A">
      <w:pPr>
        <w:spacing w:line="120" w:lineRule="atLeast"/>
        <w:ind w:rightChars="-82" w:right="-197"/>
        <w:jc w:val="right"/>
        <w:rPr>
          <w:rFonts w:eastAsia="標楷體"/>
          <w:sz w:val="20"/>
          <w:szCs w:val="16"/>
        </w:rPr>
      </w:pPr>
      <w:r w:rsidRPr="0044221C">
        <w:rPr>
          <w:rFonts w:eastAsia="標楷體"/>
          <w:sz w:val="20"/>
          <w:szCs w:val="16"/>
        </w:rPr>
        <w:t>91</w:t>
      </w:r>
      <w:r w:rsidRPr="0044221C">
        <w:rPr>
          <w:rFonts w:eastAsia="標楷體" w:hAnsi="標楷體"/>
          <w:sz w:val="20"/>
          <w:szCs w:val="16"/>
        </w:rPr>
        <w:t>年</w:t>
      </w:r>
      <w:r w:rsidRPr="0044221C">
        <w:rPr>
          <w:rFonts w:eastAsia="標楷體"/>
          <w:sz w:val="20"/>
          <w:szCs w:val="16"/>
        </w:rPr>
        <w:t>4</w:t>
      </w:r>
      <w:r w:rsidRPr="0044221C">
        <w:rPr>
          <w:rFonts w:eastAsia="標楷體" w:hAnsi="標楷體"/>
          <w:sz w:val="20"/>
          <w:szCs w:val="16"/>
        </w:rPr>
        <w:t>月</w:t>
      </w:r>
      <w:r w:rsidRPr="0044221C">
        <w:rPr>
          <w:rFonts w:eastAsia="標楷體"/>
          <w:sz w:val="20"/>
          <w:szCs w:val="16"/>
        </w:rPr>
        <w:t>16</w:t>
      </w:r>
      <w:r w:rsidRPr="0044221C">
        <w:rPr>
          <w:rFonts w:eastAsia="標楷體" w:hAnsi="標楷體"/>
          <w:sz w:val="20"/>
          <w:szCs w:val="16"/>
        </w:rPr>
        <w:t>日校務會議修正通過</w:t>
      </w:r>
    </w:p>
    <w:p w:rsidR="00F6018A" w:rsidRPr="0044221C" w:rsidRDefault="00F6018A" w:rsidP="00F6018A">
      <w:pPr>
        <w:spacing w:line="120" w:lineRule="atLeast"/>
        <w:ind w:rightChars="-82" w:right="-197"/>
        <w:jc w:val="right"/>
        <w:rPr>
          <w:rFonts w:eastAsia="標楷體"/>
          <w:sz w:val="20"/>
          <w:szCs w:val="16"/>
        </w:rPr>
      </w:pPr>
      <w:r w:rsidRPr="0044221C">
        <w:rPr>
          <w:rFonts w:eastAsia="標楷體"/>
          <w:sz w:val="20"/>
          <w:szCs w:val="16"/>
        </w:rPr>
        <w:t>100</w:t>
      </w:r>
      <w:r w:rsidRPr="0044221C">
        <w:rPr>
          <w:rFonts w:eastAsia="標楷體" w:hAnsi="標楷體"/>
          <w:sz w:val="20"/>
          <w:szCs w:val="16"/>
        </w:rPr>
        <w:t>年</w:t>
      </w:r>
      <w:r w:rsidRPr="0044221C">
        <w:rPr>
          <w:rFonts w:eastAsia="標楷體"/>
          <w:sz w:val="20"/>
          <w:szCs w:val="16"/>
        </w:rPr>
        <w:t>11</w:t>
      </w:r>
      <w:r w:rsidRPr="0044221C">
        <w:rPr>
          <w:rFonts w:eastAsia="標楷體" w:hAnsi="標楷體"/>
          <w:sz w:val="20"/>
          <w:szCs w:val="16"/>
        </w:rPr>
        <w:t>月</w:t>
      </w:r>
      <w:r w:rsidRPr="0044221C">
        <w:rPr>
          <w:rFonts w:eastAsia="標楷體"/>
          <w:sz w:val="20"/>
          <w:szCs w:val="16"/>
        </w:rPr>
        <w:t>15</w:t>
      </w:r>
      <w:r w:rsidRPr="0044221C">
        <w:rPr>
          <w:rFonts w:eastAsia="標楷體" w:hAnsi="標楷體"/>
          <w:sz w:val="20"/>
          <w:szCs w:val="16"/>
        </w:rPr>
        <w:t>日</w:t>
      </w:r>
      <w:r w:rsidRPr="0044221C">
        <w:rPr>
          <w:rFonts w:eastAsia="標楷體"/>
          <w:sz w:val="20"/>
          <w:szCs w:val="16"/>
        </w:rPr>
        <w:t>100</w:t>
      </w:r>
      <w:r w:rsidRPr="0044221C">
        <w:rPr>
          <w:rFonts w:eastAsia="標楷體" w:hAnsi="標楷體"/>
          <w:sz w:val="20"/>
          <w:szCs w:val="16"/>
        </w:rPr>
        <w:t>學年度第</w:t>
      </w:r>
      <w:r w:rsidRPr="0044221C">
        <w:rPr>
          <w:rFonts w:eastAsia="標楷體"/>
          <w:sz w:val="20"/>
          <w:szCs w:val="16"/>
        </w:rPr>
        <w:t>1</w:t>
      </w:r>
      <w:r w:rsidRPr="0044221C">
        <w:rPr>
          <w:rFonts w:eastAsia="標楷體" w:hAnsi="標楷體"/>
          <w:sz w:val="20"/>
          <w:szCs w:val="16"/>
        </w:rPr>
        <w:t>學期校務會議</w:t>
      </w:r>
      <w:r>
        <w:rPr>
          <w:rFonts w:eastAsia="標楷體" w:hAnsi="標楷體" w:hint="eastAsia"/>
          <w:sz w:val="20"/>
          <w:szCs w:val="16"/>
        </w:rPr>
        <w:t>通過</w:t>
      </w:r>
    </w:p>
    <w:p w:rsidR="00F6018A" w:rsidRPr="0044221C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/>
        </w:rPr>
      </w:pPr>
      <w:r w:rsidRPr="0044221C">
        <w:rPr>
          <w:rFonts w:eastAsia="標楷體" w:hAnsi="標楷體"/>
        </w:rPr>
        <w:t>國立</w:t>
      </w:r>
      <w:proofErr w:type="gramStart"/>
      <w:r w:rsidRPr="0044221C">
        <w:rPr>
          <w:rFonts w:eastAsia="標楷體" w:hAnsi="標楷體"/>
        </w:rPr>
        <w:t>臺</w:t>
      </w:r>
      <w:proofErr w:type="gramEnd"/>
      <w:r w:rsidRPr="0044221C">
        <w:rPr>
          <w:rFonts w:eastAsia="標楷體" w:hAnsi="標楷體"/>
        </w:rPr>
        <w:t>北科技大學（以下簡稱本校）為規劃校務發展之重點與方向，以有效推動本校中長程發展，成立「校務發展委員會」（以下簡稱本會），並依據本校組織規程相關之規定，訂定本會組織章程。</w:t>
      </w:r>
    </w:p>
    <w:p w:rsidR="00F6018A" w:rsidRPr="0044221C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/>
        </w:rPr>
      </w:pPr>
      <w:r w:rsidRPr="0044221C">
        <w:rPr>
          <w:rFonts w:eastAsia="標楷體" w:hAnsi="標楷體"/>
        </w:rPr>
        <w:t>本會置委員若干人，由左列人員組成之：</w:t>
      </w:r>
    </w:p>
    <w:p w:rsidR="00F6018A" w:rsidRPr="00F6018A" w:rsidRDefault="00F6018A" w:rsidP="00F6018A">
      <w:pPr>
        <w:pStyle w:val="a7"/>
        <w:numPr>
          <w:ilvl w:val="0"/>
          <w:numId w:val="2"/>
        </w:numPr>
        <w:spacing w:line="420" w:lineRule="atLeast"/>
        <w:ind w:leftChars="0" w:rightChars="-142" w:right="-341" w:hanging="764"/>
        <w:jc w:val="both"/>
        <w:rPr>
          <w:rFonts w:eastAsia="標楷體" w:hAnsi="標楷體" w:hint="eastAsia"/>
          <w:color w:val="auto"/>
        </w:rPr>
      </w:pPr>
      <w:r w:rsidRPr="00F6018A">
        <w:rPr>
          <w:rFonts w:eastAsia="標楷體" w:hAnsi="標楷體"/>
          <w:color w:val="auto"/>
        </w:rPr>
        <w:t>當然委員：校長、副校長、教務長、學</w:t>
      </w:r>
      <w:proofErr w:type="gramStart"/>
      <w:r w:rsidRPr="00F6018A">
        <w:rPr>
          <w:rFonts w:eastAsia="標楷體" w:hAnsi="標楷體"/>
          <w:color w:val="auto"/>
        </w:rPr>
        <w:t>務</w:t>
      </w:r>
      <w:proofErr w:type="gramEnd"/>
      <w:r w:rsidRPr="00F6018A">
        <w:rPr>
          <w:rFonts w:eastAsia="標楷體" w:hAnsi="標楷體"/>
          <w:color w:val="auto"/>
        </w:rPr>
        <w:t>長、總務長、研發長、國際事務長、研發總中心主任、進修部主任、主任秘書、各學院院長、人事室主任、會計室主任。</w:t>
      </w:r>
    </w:p>
    <w:p w:rsidR="00F6018A" w:rsidRPr="00F6018A" w:rsidRDefault="00F6018A" w:rsidP="00F6018A">
      <w:pPr>
        <w:pStyle w:val="a7"/>
        <w:numPr>
          <w:ilvl w:val="0"/>
          <w:numId w:val="2"/>
        </w:numPr>
        <w:spacing w:line="420" w:lineRule="atLeast"/>
        <w:ind w:leftChars="0" w:rightChars="-142" w:right="-341" w:hanging="764"/>
        <w:jc w:val="both"/>
        <w:rPr>
          <w:rFonts w:eastAsia="標楷體"/>
          <w:color w:val="auto"/>
        </w:rPr>
      </w:pPr>
      <w:r w:rsidRPr="00F6018A">
        <w:rPr>
          <w:rFonts w:eastAsia="標楷體" w:hAnsi="標楷體"/>
          <w:color w:val="auto"/>
        </w:rPr>
        <w:t>推選委員：各學院推選委員一至三人，分屬不同系所（通識教育中心、體育、軍訓教師併入人文與社會科學學院辦理）。推選委員任期二年，連選得連任。</w:t>
      </w:r>
    </w:p>
    <w:p w:rsidR="00F6018A" w:rsidRPr="00F6018A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/>
          <w:color w:val="auto"/>
        </w:rPr>
      </w:pPr>
      <w:r w:rsidRPr="00F6018A">
        <w:rPr>
          <w:rFonts w:eastAsia="標楷體" w:hAnsi="標楷體"/>
          <w:color w:val="auto"/>
        </w:rPr>
        <w:t>本會由校長兼主任委員並主持會議。</w:t>
      </w:r>
    </w:p>
    <w:p w:rsidR="00F6018A" w:rsidRPr="00F6018A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/>
          <w:color w:val="auto"/>
        </w:rPr>
      </w:pPr>
      <w:r w:rsidRPr="00F6018A">
        <w:rPr>
          <w:rFonts w:eastAsia="標楷體" w:hAnsi="標楷體"/>
          <w:color w:val="auto"/>
        </w:rPr>
        <w:t>本會得聘顧問若干人，除擔任本會諮詢工作並視需要列席會議。</w:t>
      </w:r>
    </w:p>
    <w:p w:rsidR="00F6018A" w:rsidRPr="00F6018A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/>
          <w:color w:val="auto"/>
        </w:rPr>
      </w:pPr>
      <w:r w:rsidRPr="00F6018A">
        <w:rPr>
          <w:rFonts w:eastAsia="標楷體" w:hAnsi="標楷體"/>
          <w:color w:val="auto"/>
        </w:rPr>
        <w:t>本會置</w:t>
      </w:r>
      <w:r w:rsidRPr="00F6018A">
        <w:rPr>
          <w:rFonts w:eastAsia="標楷體" w:hAnsi="標楷體"/>
        </w:rPr>
        <w:t>執行</w:t>
      </w:r>
      <w:proofErr w:type="gramStart"/>
      <w:r w:rsidRPr="00F6018A">
        <w:rPr>
          <w:rFonts w:eastAsia="標楷體" w:hAnsi="標楷體"/>
          <w:color w:val="auto"/>
        </w:rPr>
        <w:t>祕</w:t>
      </w:r>
      <w:proofErr w:type="gramEnd"/>
      <w:r w:rsidRPr="00F6018A">
        <w:rPr>
          <w:rFonts w:eastAsia="標楷體" w:hAnsi="標楷體"/>
          <w:color w:val="auto"/>
        </w:rPr>
        <w:t>書一人，由主任委員自當然</w:t>
      </w:r>
      <w:proofErr w:type="gramStart"/>
      <w:r w:rsidRPr="00F6018A">
        <w:rPr>
          <w:rFonts w:eastAsia="標楷體" w:hAnsi="標楷體"/>
          <w:color w:val="auto"/>
        </w:rPr>
        <w:t>委員中聘兼</w:t>
      </w:r>
      <w:proofErr w:type="gramEnd"/>
      <w:r w:rsidRPr="00F6018A">
        <w:rPr>
          <w:rFonts w:eastAsia="標楷體" w:hAnsi="標楷體"/>
          <w:color w:val="auto"/>
        </w:rPr>
        <w:t>之，負責本會之行政業務。</w:t>
      </w:r>
    </w:p>
    <w:p w:rsidR="00F6018A" w:rsidRPr="00F6018A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/>
          <w:color w:val="auto"/>
        </w:rPr>
      </w:pPr>
      <w:r w:rsidRPr="00F6018A">
        <w:rPr>
          <w:rFonts w:eastAsia="標楷體" w:hAnsi="標楷體"/>
          <w:color w:val="auto"/>
        </w:rPr>
        <w:t>本會每</w:t>
      </w:r>
      <w:r w:rsidRPr="00F6018A">
        <w:rPr>
          <w:rFonts w:eastAsia="標楷體" w:hAnsi="標楷體"/>
        </w:rPr>
        <w:t>學期</w:t>
      </w:r>
      <w:r w:rsidRPr="00F6018A">
        <w:rPr>
          <w:rFonts w:eastAsia="標楷體" w:hAnsi="標楷體"/>
          <w:color w:val="auto"/>
        </w:rPr>
        <w:t>至少開會一次，會議時得邀請相關人員列席。</w:t>
      </w:r>
    </w:p>
    <w:p w:rsidR="00F6018A" w:rsidRPr="00F6018A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/>
          <w:color w:val="auto"/>
        </w:rPr>
      </w:pPr>
      <w:r w:rsidRPr="00F6018A">
        <w:rPr>
          <w:rFonts w:eastAsia="標楷體" w:hAnsi="標楷體"/>
          <w:color w:val="auto"/>
        </w:rPr>
        <w:t>本會會議須有三分之二以上委員出席，始得開議，並經出席委員過半數同意，始得決議。</w:t>
      </w:r>
    </w:p>
    <w:p w:rsidR="00F6018A" w:rsidRPr="00F6018A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/>
          <w:color w:val="auto"/>
        </w:rPr>
      </w:pPr>
      <w:r w:rsidRPr="00F6018A">
        <w:rPr>
          <w:rFonts w:eastAsia="標楷體" w:hAnsi="標楷體"/>
          <w:color w:val="auto"/>
        </w:rPr>
        <w:t>本會之主要任務如左：</w:t>
      </w:r>
    </w:p>
    <w:p w:rsidR="00F6018A" w:rsidRPr="00F6018A" w:rsidRDefault="00F6018A" w:rsidP="00F6018A">
      <w:pPr>
        <w:pStyle w:val="a7"/>
        <w:numPr>
          <w:ilvl w:val="0"/>
          <w:numId w:val="3"/>
        </w:numPr>
        <w:spacing w:line="420" w:lineRule="atLeast"/>
        <w:ind w:leftChars="0" w:rightChars="-142" w:right="-341"/>
        <w:jc w:val="both"/>
        <w:rPr>
          <w:rFonts w:eastAsia="標楷體" w:hint="eastAsia"/>
        </w:rPr>
      </w:pPr>
      <w:proofErr w:type="gramStart"/>
      <w:r w:rsidRPr="0044221C">
        <w:rPr>
          <w:rFonts w:eastAsia="標楷體" w:hAnsi="標楷體"/>
        </w:rPr>
        <w:t>研</w:t>
      </w:r>
      <w:proofErr w:type="gramEnd"/>
      <w:r w:rsidRPr="0044221C">
        <w:rPr>
          <w:rFonts w:eastAsia="標楷體" w:hAnsi="標楷體"/>
        </w:rPr>
        <w:t>擬本校中長程發展計畫書。</w:t>
      </w:r>
    </w:p>
    <w:p w:rsidR="00F6018A" w:rsidRPr="00F6018A" w:rsidRDefault="00F6018A" w:rsidP="00F6018A">
      <w:pPr>
        <w:pStyle w:val="a7"/>
        <w:numPr>
          <w:ilvl w:val="0"/>
          <w:numId w:val="3"/>
        </w:numPr>
        <w:spacing w:line="420" w:lineRule="atLeast"/>
        <w:ind w:leftChars="0" w:rightChars="-142" w:right="-341"/>
        <w:jc w:val="both"/>
        <w:rPr>
          <w:rFonts w:eastAsia="標楷體" w:hint="eastAsia"/>
        </w:rPr>
      </w:pPr>
      <w:proofErr w:type="gramStart"/>
      <w:r w:rsidRPr="00F6018A">
        <w:rPr>
          <w:rFonts w:eastAsia="標楷體" w:hAnsi="標楷體"/>
        </w:rPr>
        <w:t>研</w:t>
      </w:r>
      <w:proofErr w:type="gramEnd"/>
      <w:r w:rsidRPr="00F6018A">
        <w:rPr>
          <w:rFonts w:eastAsia="標楷體" w:hAnsi="標楷體"/>
        </w:rPr>
        <w:t>議本校學術發展與行政制度。</w:t>
      </w:r>
    </w:p>
    <w:p w:rsidR="00F6018A" w:rsidRPr="00F6018A" w:rsidRDefault="00F6018A" w:rsidP="00F6018A">
      <w:pPr>
        <w:pStyle w:val="a7"/>
        <w:numPr>
          <w:ilvl w:val="0"/>
          <w:numId w:val="3"/>
        </w:numPr>
        <w:spacing w:line="420" w:lineRule="atLeast"/>
        <w:ind w:leftChars="0" w:rightChars="-142" w:right="-341"/>
        <w:jc w:val="both"/>
        <w:rPr>
          <w:rFonts w:eastAsia="標楷體" w:hint="eastAsia"/>
        </w:rPr>
      </w:pPr>
      <w:proofErr w:type="gramStart"/>
      <w:r w:rsidRPr="00F6018A">
        <w:rPr>
          <w:rFonts w:eastAsia="標楷體" w:hAnsi="標楷體"/>
        </w:rPr>
        <w:t>研</w:t>
      </w:r>
      <w:proofErr w:type="gramEnd"/>
      <w:r w:rsidRPr="00F6018A">
        <w:rPr>
          <w:rFonts w:eastAsia="標楷體" w:hAnsi="標楷體"/>
        </w:rPr>
        <w:t>議本校校園整體規劃。</w:t>
      </w:r>
    </w:p>
    <w:p w:rsidR="00F6018A" w:rsidRPr="00F6018A" w:rsidRDefault="00F6018A" w:rsidP="00F6018A">
      <w:pPr>
        <w:pStyle w:val="a7"/>
        <w:numPr>
          <w:ilvl w:val="0"/>
          <w:numId w:val="3"/>
        </w:numPr>
        <w:spacing w:line="420" w:lineRule="atLeast"/>
        <w:ind w:leftChars="0" w:rightChars="-142" w:right="-341"/>
        <w:jc w:val="both"/>
        <w:rPr>
          <w:rFonts w:eastAsia="標楷體" w:hint="eastAsia"/>
        </w:rPr>
      </w:pPr>
      <w:r w:rsidRPr="00F6018A">
        <w:rPr>
          <w:rFonts w:eastAsia="標楷體" w:hAnsi="標楷體"/>
        </w:rPr>
        <w:t>規劃校務基金之運作。</w:t>
      </w:r>
    </w:p>
    <w:p w:rsidR="00F6018A" w:rsidRPr="00F6018A" w:rsidRDefault="00F6018A" w:rsidP="00F6018A">
      <w:pPr>
        <w:pStyle w:val="a7"/>
        <w:numPr>
          <w:ilvl w:val="0"/>
          <w:numId w:val="3"/>
        </w:numPr>
        <w:spacing w:line="420" w:lineRule="atLeast"/>
        <w:ind w:leftChars="0" w:rightChars="-142" w:right="-341"/>
        <w:jc w:val="both"/>
        <w:rPr>
          <w:rFonts w:eastAsia="標楷體"/>
        </w:rPr>
      </w:pPr>
      <w:proofErr w:type="gramStart"/>
      <w:r w:rsidRPr="00F6018A">
        <w:rPr>
          <w:rFonts w:eastAsia="標楷體" w:hAnsi="標楷體"/>
        </w:rPr>
        <w:t>研</w:t>
      </w:r>
      <w:proofErr w:type="gramEnd"/>
      <w:r w:rsidRPr="00F6018A">
        <w:rPr>
          <w:rFonts w:eastAsia="標楷體" w:hAnsi="標楷體"/>
        </w:rPr>
        <w:t>議其他有關本校發展之重大事項。</w:t>
      </w:r>
    </w:p>
    <w:p w:rsidR="00F6018A" w:rsidRPr="00F6018A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 w:hAnsi="標楷體" w:hint="eastAsia"/>
        </w:rPr>
      </w:pPr>
      <w:r w:rsidRPr="0044221C">
        <w:rPr>
          <w:rFonts w:eastAsia="標楷體" w:hAnsi="標楷體"/>
        </w:rPr>
        <w:t>本會得視校務發展之需要成立各種工作小組，小組之召集人與成員由主任委員指派之。</w:t>
      </w:r>
    </w:p>
    <w:p w:rsidR="00354AAE" w:rsidRPr="00F6018A" w:rsidRDefault="00F6018A" w:rsidP="00F6018A">
      <w:pPr>
        <w:numPr>
          <w:ilvl w:val="0"/>
          <w:numId w:val="1"/>
        </w:numPr>
        <w:spacing w:line="420" w:lineRule="atLeast"/>
        <w:ind w:rightChars="-142" w:right="-341" w:hanging="764"/>
        <w:jc w:val="both"/>
        <w:rPr>
          <w:rFonts w:eastAsia="標楷體" w:hint="eastAsia"/>
        </w:rPr>
      </w:pPr>
      <w:r w:rsidRPr="00F6018A">
        <w:rPr>
          <w:rFonts w:eastAsia="標楷體" w:hAnsi="標楷體"/>
        </w:rPr>
        <w:t>本章程經校務會議討論通過後，陳請校長核定後實施，修正時亦同。</w:t>
      </w:r>
    </w:p>
    <w:sectPr w:rsidR="00354AAE" w:rsidRPr="00F6018A" w:rsidSect="00354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04" w:rsidRDefault="002B0B04" w:rsidP="00F6018A">
      <w:r>
        <w:separator/>
      </w:r>
    </w:p>
  </w:endnote>
  <w:endnote w:type="continuationSeparator" w:id="0">
    <w:p w:rsidR="002B0B04" w:rsidRDefault="002B0B04" w:rsidP="00F6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04" w:rsidRDefault="002B0B04" w:rsidP="00F6018A">
      <w:r>
        <w:separator/>
      </w:r>
    </w:p>
  </w:footnote>
  <w:footnote w:type="continuationSeparator" w:id="0">
    <w:p w:rsidR="002B0B04" w:rsidRDefault="002B0B04" w:rsidP="00F60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DB1"/>
    <w:multiLevelType w:val="hybridMultilevel"/>
    <w:tmpl w:val="F46A506E"/>
    <w:lvl w:ilvl="0" w:tplc="63CC114C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2B505D18"/>
    <w:multiLevelType w:val="hybridMultilevel"/>
    <w:tmpl w:val="F46A506E"/>
    <w:lvl w:ilvl="0" w:tplc="63CC114C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>
    <w:nsid w:val="78633CBA"/>
    <w:multiLevelType w:val="hybridMultilevel"/>
    <w:tmpl w:val="BA3E727A"/>
    <w:lvl w:ilvl="0" w:tplc="F15E5B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18A"/>
    <w:rsid w:val="002B0B04"/>
    <w:rsid w:val="002D3468"/>
    <w:rsid w:val="00354AAE"/>
    <w:rsid w:val="00682615"/>
    <w:rsid w:val="006A38FD"/>
    <w:rsid w:val="00845656"/>
    <w:rsid w:val="009535C7"/>
    <w:rsid w:val="00AC3B47"/>
    <w:rsid w:val="00ED21A4"/>
    <w:rsid w:val="00F6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A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01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0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018A"/>
    <w:rPr>
      <w:sz w:val="20"/>
      <w:szCs w:val="20"/>
    </w:rPr>
  </w:style>
  <w:style w:type="paragraph" w:styleId="a7">
    <w:name w:val="List Paragraph"/>
    <w:basedOn w:val="a"/>
    <w:uiPriority w:val="34"/>
    <w:qFormat/>
    <w:rsid w:val="00F601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2012-03-01T07:13:00Z</dcterms:created>
  <dcterms:modified xsi:type="dcterms:W3CDTF">2012-03-01T07:17:00Z</dcterms:modified>
</cp:coreProperties>
</file>